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hint="eastAsia"/>
          <w:b/>
          <w:sz w:val="44"/>
          <w:szCs w:val="44"/>
        </w:rPr>
      </w:pPr>
    </w:p>
    <w:p>
      <w:pPr>
        <w:jc w:val="center"/>
        <w:rPr>
          <w:rFonts w:hint="eastAsia"/>
          <w:b/>
          <w:sz w:val="44"/>
          <w:szCs w:val="44"/>
        </w:rPr>
      </w:pPr>
      <w:r>
        <w:rPr>
          <w:rFonts w:hint="eastAsia"/>
          <w:b/>
          <w:sz w:val="44"/>
          <w:szCs w:val="44"/>
        </w:rPr>
        <w:t>证   明</w:t>
      </w:r>
    </w:p>
    <w:p>
      <w:pPr>
        <w:spacing w:line="360" w:lineRule="auto"/>
        <w:ind w:firstLine="560" w:firstLineChars="200"/>
        <w:jc w:val="left"/>
        <w:rPr>
          <w:sz w:val="28"/>
          <w:szCs w:val="28"/>
        </w:rPr>
      </w:pPr>
      <w:r>
        <w:rPr>
          <w:rFonts w:hint="eastAsia"/>
          <w:sz w:val="28"/>
          <w:szCs w:val="28"/>
        </w:rPr>
        <w:t>杭州师范大学钱江学院学分绩点与学分课程考核成绩的换算标准如下：</w:t>
      </w:r>
    </w:p>
    <w:p>
      <w:pPr>
        <w:spacing w:line="360" w:lineRule="auto"/>
        <w:jc w:val="left"/>
        <w:rPr>
          <w:rFonts w:hint="eastAsia"/>
          <w:sz w:val="28"/>
          <w:szCs w:val="28"/>
        </w:rPr>
      </w:pPr>
      <w:r>
        <w:rPr>
          <w:rFonts w:hint="eastAsia"/>
          <w:sz w:val="28"/>
          <w:szCs w:val="28"/>
        </w:rPr>
        <w:t>（1）采用百分制记分的课程：</w:t>
      </w:r>
    </w:p>
    <w:tbl>
      <w:tblPr>
        <w:tblStyle w:val="3"/>
        <w:tblW w:w="0" w:type="auto"/>
        <w:tblInd w:w="0" w:type="dxa"/>
        <w:shd w:val="clear" w:color="auto" w:fill="FFFFFF"/>
        <w:tblLayout w:type="autofit"/>
        <w:tblCellMar>
          <w:top w:w="0" w:type="dxa"/>
          <w:left w:w="0" w:type="dxa"/>
          <w:bottom w:w="0" w:type="dxa"/>
          <w:right w:w="0" w:type="dxa"/>
        </w:tblCellMar>
      </w:tblPr>
      <w:tblGrid>
        <w:gridCol w:w="816"/>
        <w:gridCol w:w="1449"/>
        <w:gridCol w:w="1256"/>
        <w:gridCol w:w="1353"/>
        <w:gridCol w:w="1218"/>
        <w:gridCol w:w="1353"/>
        <w:gridCol w:w="947"/>
      </w:tblGrid>
      <w:tr>
        <w:tblPrEx>
          <w:shd w:val="clear" w:color="auto" w:fill="FFFFFF"/>
          <w:tblCellMar>
            <w:top w:w="0" w:type="dxa"/>
            <w:left w:w="0" w:type="dxa"/>
            <w:bottom w:w="0" w:type="dxa"/>
            <w:right w:w="0" w:type="dxa"/>
          </w:tblCellMar>
        </w:tblPrEx>
        <w:trPr>
          <w:trHeight w:val="542" w:hRule="atLeast"/>
        </w:trPr>
        <w:tc>
          <w:tcPr>
            <w:tcW w:w="816"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rFonts w:hint="eastAsia"/>
                <w:sz w:val="28"/>
                <w:szCs w:val="28"/>
              </w:rPr>
              <w:t>成绩</w:t>
            </w:r>
          </w:p>
        </w:tc>
        <w:tc>
          <w:tcPr>
            <w:tcW w:w="1449"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59</w:t>
            </w:r>
            <w:r>
              <w:rPr>
                <w:rFonts w:hint="eastAsia"/>
                <w:sz w:val="28"/>
                <w:szCs w:val="28"/>
              </w:rPr>
              <w:t>分以下</w:t>
            </w:r>
          </w:p>
        </w:tc>
        <w:tc>
          <w:tcPr>
            <w:tcW w:w="1256"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60-69</w:t>
            </w:r>
            <w:r>
              <w:rPr>
                <w:rFonts w:hint="eastAsia"/>
                <w:sz w:val="28"/>
                <w:szCs w:val="28"/>
              </w:rPr>
              <w:t>分</w:t>
            </w:r>
          </w:p>
        </w:tc>
        <w:tc>
          <w:tcPr>
            <w:tcW w:w="1353"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70-79</w:t>
            </w:r>
            <w:r>
              <w:rPr>
                <w:rFonts w:hint="eastAsia"/>
                <w:sz w:val="28"/>
                <w:szCs w:val="28"/>
              </w:rPr>
              <w:t>分</w:t>
            </w:r>
          </w:p>
        </w:tc>
        <w:tc>
          <w:tcPr>
            <w:tcW w:w="1218"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80-89</w:t>
            </w:r>
            <w:r>
              <w:rPr>
                <w:rFonts w:hint="eastAsia"/>
                <w:sz w:val="28"/>
                <w:szCs w:val="28"/>
              </w:rPr>
              <w:t>分</w:t>
            </w:r>
          </w:p>
        </w:tc>
        <w:tc>
          <w:tcPr>
            <w:tcW w:w="1353"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90-99</w:t>
            </w:r>
            <w:r>
              <w:rPr>
                <w:rFonts w:hint="eastAsia"/>
                <w:sz w:val="28"/>
                <w:szCs w:val="28"/>
              </w:rPr>
              <w:t>分</w:t>
            </w:r>
          </w:p>
        </w:tc>
        <w:tc>
          <w:tcPr>
            <w:tcW w:w="947"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100</w:t>
            </w:r>
            <w:r>
              <w:rPr>
                <w:rFonts w:hint="eastAsia"/>
                <w:sz w:val="28"/>
                <w:szCs w:val="28"/>
              </w:rPr>
              <w:t>分</w:t>
            </w:r>
          </w:p>
        </w:tc>
      </w:tr>
      <w:tr>
        <w:tblPrEx>
          <w:tblCellMar>
            <w:top w:w="0" w:type="dxa"/>
            <w:left w:w="0" w:type="dxa"/>
            <w:bottom w:w="0" w:type="dxa"/>
            <w:right w:w="0" w:type="dxa"/>
          </w:tblCellMar>
        </w:tblPrEx>
        <w:trPr>
          <w:trHeight w:val="468" w:hRule="atLeast"/>
        </w:trPr>
        <w:tc>
          <w:tcPr>
            <w:tcW w:w="816"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rFonts w:hint="eastAsia"/>
                <w:sz w:val="28"/>
                <w:szCs w:val="28"/>
              </w:rPr>
              <w:t>绩点</w:t>
            </w:r>
          </w:p>
        </w:tc>
        <w:tc>
          <w:tcPr>
            <w:tcW w:w="1449"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firstLine="360"/>
              <w:jc w:val="left"/>
              <w:rPr>
                <w:sz w:val="28"/>
                <w:szCs w:val="28"/>
              </w:rPr>
            </w:pPr>
            <w:r>
              <w:rPr>
                <w:sz w:val="28"/>
                <w:szCs w:val="28"/>
              </w:rPr>
              <w:t>0</w:t>
            </w:r>
          </w:p>
        </w:tc>
        <w:tc>
          <w:tcPr>
            <w:tcW w:w="1256"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1.0-1.9</w:t>
            </w:r>
          </w:p>
        </w:tc>
        <w:tc>
          <w:tcPr>
            <w:tcW w:w="135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2.0-2.9</w:t>
            </w:r>
          </w:p>
        </w:tc>
        <w:tc>
          <w:tcPr>
            <w:tcW w:w="121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3.0-3.9</w:t>
            </w:r>
          </w:p>
        </w:tc>
        <w:tc>
          <w:tcPr>
            <w:tcW w:w="135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jc w:val="left"/>
              <w:rPr>
                <w:sz w:val="28"/>
                <w:szCs w:val="28"/>
              </w:rPr>
            </w:pPr>
            <w:r>
              <w:rPr>
                <w:sz w:val="28"/>
                <w:szCs w:val="28"/>
              </w:rPr>
              <w:t>4.0-4.9</w:t>
            </w:r>
          </w:p>
        </w:tc>
        <w:tc>
          <w:tcPr>
            <w:tcW w:w="94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450" w:lineRule="atLeast"/>
              <w:ind w:right="-252" w:firstLine="90"/>
              <w:jc w:val="left"/>
              <w:rPr>
                <w:sz w:val="28"/>
                <w:szCs w:val="28"/>
              </w:rPr>
            </w:pPr>
            <w:r>
              <w:rPr>
                <w:sz w:val="28"/>
                <w:szCs w:val="28"/>
              </w:rPr>
              <w:t>5.0</w:t>
            </w:r>
          </w:p>
        </w:tc>
      </w:tr>
    </w:tbl>
    <w:p>
      <w:pPr>
        <w:spacing w:line="360" w:lineRule="auto"/>
        <w:jc w:val="left"/>
        <w:rPr>
          <w:rFonts w:hint="eastAsia"/>
          <w:sz w:val="28"/>
          <w:szCs w:val="28"/>
        </w:rPr>
      </w:pPr>
      <w:r>
        <w:rPr>
          <w:rFonts w:hint="eastAsia"/>
          <w:sz w:val="28"/>
          <w:szCs w:val="28"/>
        </w:rPr>
        <w:t>（2）采用五级制记分的课程：</w:t>
      </w:r>
    </w:p>
    <w:p>
      <w:pPr>
        <w:spacing w:line="360" w:lineRule="auto"/>
        <w:ind w:firstLine="560" w:firstLineChars="200"/>
        <w:jc w:val="left"/>
        <w:rPr>
          <w:rFonts w:hint="eastAsia"/>
          <w:sz w:val="28"/>
          <w:szCs w:val="28"/>
        </w:rPr>
      </w:pPr>
      <w:r>
        <w:rPr>
          <w:rFonts w:hint="eastAsia"/>
          <w:sz w:val="28"/>
          <w:szCs w:val="28"/>
        </w:rPr>
        <w:t>优—4.5，良—3.5，中—2.5，及格—1.5，不及格—0。</w:t>
      </w:r>
    </w:p>
    <w:p>
      <w:pPr>
        <w:numPr>
          <w:ilvl w:val="0"/>
          <w:numId w:val="0"/>
        </w:numPr>
        <w:spacing w:line="360" w:lineRule="auto"/>
        <w:jc w:val="left"/>
        <w:rPr>
          <w:rFonts w:hint="eastAsia"/>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平均学分绩点计算公式如下：</w:t>
      </w:r>
    </w:p>
    <w:p>
      <w:pPr>
        <w:numPr>
          <w:ilvl w:val="0"/>
          <w:numId w:val="0"/>
        </w:numPr>
        <w:spacing w:line="360" w:lineRule="auto"/>
        <w:ind w:firstLine="560" w:firstLineChars="200"/>
        <w:jc w:val="left"/>
        <w:rPr>
          <w:rFonts w:hint="eastAsia" w:eastAsia="宋体"/>
          <w:sz w:val="28"/>
          <w:szCs w:val="28"/>
          <w:lang w:eastAsia="zh-CN"/>
        </w:rPr>
      </w:pPr>
      <w:r>
        <w:rPr>
          <w:rFonts w:hint="eastAsia"/>
          <w:sz w:val="28"/>
          <w:szCs w:val="28"/>
          <w:lang w:eastAsia="zh-CN"/>
        </w:rPr>
        <w:t>平均学分绩点</w:t>
      </w:r>
      <m:oMath>
        <m:r>
          <m:rPr/>
          <w:rPr>
            <w:rFonts w:ascii="Cambria Math" w:hAnsi="Cambria Math"/>
            <w:sz w:val="36"/>
            <w:szCs w:val="28"/>
          </w:rPr>
          <m:t>=</m:t>
        </m:r>
        <m:f>
          <m:fPr>
            <m:ctrlPr>
              <w:rPr>
                <w:rFonts w:hint="eastAsia" w:ascii="Cambria Math" w:hAnsi="Cambria Math"/>
                <w:sz w:val="36"/>
                <w:szCs w:val="36"/>
                <w:lang w:eastAsia="zh-CN"/>
              </w:rPr>
            </m:ctrlPr>
          </m:fPr>
          <m:num>
            <m:r>
              <m:rPr>
                <m:sty m:val="p"/>
              </m:rPr>
              <w:rPr>
                <w:rFonts w:hint="eastAsia" w:ascii="Cambria Math" w:hAnsi="Cambria Math"/>
                <w:sz w:val="36"/>
                <w:szCs w:val="36"/>
                <w:lang w:eastAsia="zh-CN"/>
              </w:rPr>
              <m:t>∑</m:t>
            </m:r>
            <m:r>
              <m:rPr>
                <m:sty m:val="p"/>
              </m:rPr>
              <w:rPr>
                <w:rFonts w:hint="default" w:ascii="Cambria Math" w:hAnsi="Cambria Math"/>
                <w:sz w:val="36"/>
                <w:szCs w:val="36"/>
                <w:lang w:eastAsia="zh-CN"/>
              </w:rPr>
              <m:t>（课程学分×绩点）</m:t>
            </m:r>
            <m:ctrlPr>
              <w:rPr>
                <w:rFonts w:hint="eastAsia" w:ascii="Cambria Math" w:hAnsi="Cambria Math"/>
                <w:sz w:val="36"/>
                <w:szCs w:val="36"/>
                <w:lang w:eastAsia="zh-CN"/>
              </w:rPr>
            </m:ctrlPr>
          </m:num>
          <m:den>
            <m:r>
              <m:rPr>
                <m:sty m:val="p"/>
              </m:rPr>
              <w:rPr>
                <w:rFonts w:hint="eastAsia" w:ascii="Cambria Math" w:hAnsi="Cambria Math"/>
                <w:sz w:val="36"/>
                <w:szCs w:val="36"/>
                <w:lang w:eastAsia="zh-CN"/>
              </w:rPr>
              <m:t>∑</m:t>
            </m:r>
            <m:r>
              <m:rPr>
                <m:sty m:val="p"/>
              </m:rPr>
              <w:rPr>
                <w:rFonts w:hint="default" w:ascii="Cambria Math" w:hAnsi="Cambria Math"/>
                <w:sz w:val="36"/>
                <w:szCs w:val="36"/>
                <w:lang w:val="en-US" w:eastAsia="zh-CN"/>
              </w:rPr>
              <m:t xml:space="preserve"> </m:t>
            </m:r>
            <m:r>
              <m:rPr>
                <m:sty m:val="p"/>
              </m:rPr>
              <w:rPr>
                <w:rFonts w:hint="default" w:ascii="Cambria Math" w:hAnsi="Cambria Math"/>
                <w:sz w:val="36"/>
                <w:szCs w:val="36"/>
                <w:lang w:eastAsia="zh-CN"/>
              </w:rPr>
              <m:t>所学课程学分</m:t>
            </m:r>
            <m:ctrlPr>
              <w:rPr>
                <w:rFonts w:hint="eastAsia" w:ascii="Cambria Math" w:hAnsi="Cambria Math"/>
                <w:sz w:val="36"/>
                <w:szCs w:val="36"/>
                <w:lang w:eastAsia="zh-CN"/>
              </w:rPr>
            </m:ctrlPr>
          </m:den>
        </m:f>
      </m:oMath>
    </w:p>
    <w:p>
      <w:pPr>
        <w:spacing w:line="360" w:lineRule="auto"/>
        <w:ind w:left="0" w:leftChars="0" w:firstLine="0" w:firstLineChars="0"/>
        <w:jc w:val="left"/>
        <w:rPr>
          <w:rFonts w:hint="eastAsia"/>
          <w:sz w:val="28"/>
          <w:szCs w:val="28"/>
        </w:rPr>
      </w:pPr>
      <w:r>
        <w:rPr>
          <w:rFonts w:hint="eastAsia"/>
          <w:sz w:val="28"/>
          <w:szCs w:val="28"/>
        </w:rPr>
        <w:t>（4）采用两级制记分的课程：</w:t>
      </w:r>
      <w:bookmarkStart w:id="0" w:name="_GoBack"/>
      <w:bookmarkEnd w:id="0"/>
    </w:p>
    <w:p>
      <w:pPr>
        <w:spacing w:line="360" w:lineRule="auto"/>
        <w:ind w:firstLine="537" w:firstLineChars="192"/>
        <w:jc w:val="left"/>
        <w:rPr>
          <w:rFonts w:hint="eastAsia"/>
          <w:sz w:val="28"/>
          <w:szCs w:val="28"/>
        </w:rPr>
      </w:pPr>
      <w:r>
        <w:rPr>
          <w:rFonts w:hint="eastAsia"/>
          <w:sz w:val="28"/>
          <w:szCs w:val="28"/>
        </w:rPr>
        <w:t>合格—2.5，不合格—0。</w:t>
      </w:r>
    </w:p>
    <w:p>
      <w:pPr>
        <w:spacing w:line="360" w:lineRule="auto"/>
        <w:ind w:firstLine="560" w:firstLineChars="200"/>
        <w:jc w:val="left"/>
        <w:rPr>
          <w:rFonts w:hint="eastAsia"/>
          <w:sz w:val="28"/>
          <w:szCs w:val="28"/>
        </w:rPr>
      </w:pPr>
      <w:r>
        <w:rPr>
          <w:rFonts w:hint="eastAsia"/>
          <w:sz w:val="28"/>
          <w:szCs w:val="28"/>
        </w:rPr>
        <w:t>根据《杭州师范大学钱江学院学士学位授予细则》相关条款规定，在校学习期间平均学分绩点在2.0及以上的全日制本科毕业生，可授予学士学位。</w:t>
      </w:r>
    </w:p>
    <w:p>
      <w:pPr>
        <w:spacing w:line="360" w:lineRule="auto"/>
        <w:ind w:firstLine="560" w:firstLineChars="200"/>
        <w:jc w:val="left"/>
        <w:rPr>
          <w:rFonts w:hint="eastAsia"/>
          <w:sz w:val="28"/>
          <w:szCs w:val="28"/>
        </w:rPr>
      </w:pPr>
    </w:p>
    <w:p>
      <w:pPr>
        <w:spacing w:line="360" w:lineRule="auto"/>
        <w:ind w:firstLine="560" w:firstLineChars="200"/>
        <w:jc w:val="right"/>
        <w:rPr>
          <w:rFonts w:hint="eastAsia"/>
          <w:sz w:val="28"/>
          <w:szCs w:val="28"/>
        </w:rPr>
      </w:pPr>
      <w:r>
        <w:rPr>
          <w:rFonts w:hint="eastAsia"/>
          <w:sz w:val="28"/>
          <w:szCs w:val="28"/>
        </w:rPr>
        <w:t>杭州师范大学钱江学院教学与科研部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MzBjNWQ4ZGRkMzYzNGU0OTM4NzQ0OTNhY2E0YzQifQ=="/>
  </w:docVars>
  <w:rsids>
    <w:rsidRoot w:val="005F0929"/>
    <w:rsid w:val="00041EC6"/>
    <w:rsid w:val="000F1F1A"/>
    <w:rsid w:val="001A4EB5"/>
    <w:rsid w:val="00216C38"/>
    <w:rsid w:val="00263485"/>
    <w:rsid w:val="003750D9"/>
    <w:rsid w:val="00420773"/>
    <w:rsid w:val="005F0929"/>
    <w:rsid w:val="00621E95"/>
    <w:rsid w:val="006C47EE"/>
    <w:rsid w:val="00731A79"/>
    <w:rsid w:val="00804193"/>
    <w:rsid w:val="00810BDE"/>
    <w:rsid w:val="009B5085"/>
    <w:rsid w:val="009D18BB"/>
    <w:rsid w:val="00B93073"/>
    <w:rsid w:val="00C20137"/>
    <w:rsid w:val="00C53916"/>
    <w:rsid w:val="00D05AB5"/>
    <w:rsid w:val="00E64847"/>
    <w:rsid w:val="00F222EB"/>
    <w:rsid w:val="00FB434D"/>
    <w:rsid w:val="033750EB"/>
    <w:rsid w:val="0E781AA3"/>
    <w:rsid w:val="0F3550C8"/>
    <w:rsid w:val="127C2868"/>
    <w:rsid w:val="130E4AA7"/>
    <w:rsid w:val="1C19367C"/>
    <w:rsid w:val="38FB7912"/>
    <w:rsid w:val="43383261"/>
    <w:rsid w:val="46592743"/>
    <w:rsid w:val="4FFC6AD5"/>
    <w:rsid w:val="68D93544"/>
    <w:rsid w:val="796D52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alloon Text"/>
    <w:basedOn w:val="1"/>
    <w:link w:val="5"/>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256</Words>
  <Characters>315</Characters>
  <Lines>2</Lines>
  <Paragraphs>1</Paragraphs>
  <TotalTime>13</TotalTime>
  <ScaleCrop>false</ScaleCrop>
  <LinksUpToDate>false</LinksUpToDate>
  <CharactersWithSpaces>328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2023-06-25T06:09:00Z</dcterms:created>
  <dc:creator>admin</dc:creator>
  <cp:lastModifiedBy>海纳百川</cp:lastModifiedBy>
  <cp:lastPrinted>2023-09-07T01:28:27Z</cp:lastPrinted>
  <dcterms:modified xsi:type="dcterms:W3CDTF">2023-09-07T01:34:55Z</dcterms:modified>
  <dc:title>证   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447534BF37514F6E9904BD2B5C8E1A01_13</vt:lpwstr>
  </property>
</Properties>
</file>