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Times New Roman Bold" w:hAnsi="Times New Roman Bold" w:cs="Times New Roman Bold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Times New Roman Bold" w:hAnsi="Times New Roman Bold" w:cs="Times New Roman Bold"/>
          <w:b/>
          <w:bCs/>
          <w:sz w:val="32"/>
          <w:szCs w:val="32"/>
          <w:lang w:eastAsia="zh-Hans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  <w:lang w:eastAsia="zh-Hans"/>
        </w:rPr>
        <w:t>Certificate</w:t>
      </w:r>
    </w:p>
    <w:p>
      <w:pPr>
        <w:spacing w:line="360" w:lineRule="auto"/>
        <w:ind w:firstLine="560" w:firstLineChars="200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>The conversion criteria for GPA and credit course assessment scores of Hangzhou Normal University,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Qianjiang College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 are as follows.</w:t>
      </w:r>
    </w:p>
    <w:p>
      <w:pPr>
        <w:spacing w:line="360" w:lineRule="auto"/>
        <w:ind w:firstLine="560" w:firstLineChars="200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hint="eastAsia" w:ascii="Times New Roman Regular" w:hAnsi="Times New Roman Regular" w:cs="Times New Roman Regular"/>
          <w:sz w:val="28"/>
          <w:szCs w:val="28"/>
        </w:rPr>
        <w:t xml:space="preserve">(1) </w:t>
      </w:r>
      <w:r>
        <w:rPr>
          <w:rFonts w:ascii="Times New Roman Regular" w:hAnsi="Times New Roman Regular" w:cs="Times New Roman Regular"/>
          <w:sz w:val="28"/>
          <w:szCs w:val="28"/>
        </w:rPr>
        <w:t>Courses marked by a percentage system.</w:t>
      </w: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288"/>
        <w:gridCol w:w="1256"/>
        <w:gridCol w:w="1353"/>
        <w:gridCol w:w="1218"/>
        <w:gridCol w:w="1353"/>
        <w:gridCol w:w="9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Grades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Below 59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60-69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70-79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80-89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90-99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GPA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 w:firstLine="360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1.0-1.9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2.0-2.9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3.0-3.9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4.0-4.9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-252" w:firstLine="90"/>
              <w:jc w:val="lef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5.0</w:t>
            </w:r>
          </w:p>
        </w:tc>
      </w:tr>
    </w:tbl>
    <w:p>
      <w:pPr>
        <w:spacing w:line="360" w:lineRule="auto"/>
        <w:ind w:firstLine="560" w:firstLineChars="200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hint="eastAsia" w:ascii="Times New Roman Regular" w:hAnsi="Times New Roman Regular" w:cs="Times New Roman Regular"/>
          <w:sz w:val="28"/>
          <w:szCs w:val="28"/>
        </w:rPr>
        <w:t>(2)</w:t>
      </w:r>
      <w:r>
        <w:rPr>
          <w:rFonts w:ascii="Times New Roman Regular" w:hAnsi="Times New Roman Regular" w:cs="Times New Roman Regular"/>
          <w:sz w:val="28"/>
          <w:szCs w:val="28"/>
        </w:rPr>
        <w:t>Courses marked by a five-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level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 grading system.</w:t>
      </w:r>
    </w:p>
    <w:p>
      <w:pPr>
        <w:spacing w:line="360" w:lineRule="auto"/>
        <w:ind w:firstLine="560" w:firstLineChars="200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Excellent-4.5, </w:t>
      </w:r>
      <w:r>
        <w:rPr>
          <w:rFonts w:hint="eastAsia" w:ascii="Times New Roman Regular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Good-3.5,</w:t>
      </w:r>
      <w:r>
        <w:rPr>
          <w:rFonts w:hint="eastAsia" w:ascii="Times New Roman Regular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 Medium-2.5, </w:t>
      </w:r>
      <w:r>
        <w:rPr>
          <w:rFonts w:hint="eastAsia" w:ascii="Times New Roman Regular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Pass-1.5, </w:t>
      </w:r>
      <w:r>
        <w:rPr>
          <w:rFonts w:hint="eastAsia" w:ascii="Times New Roman Regular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Fail-0.</w:t>
      </w:r>
    </w:p>
    <w:p>
      <w:pPr>
        <w:spacing w:line="360" w:lineRule="auto"/>
        <w:ind w:firstLine="560" w:firstLineChars="200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hint="eastAsia" w:ascii="Times New Roman Regular" w:hAnsi="Times New Roman Regular" w:cs="Times New Roman Regular"/>
          <w:sz w:val="28"/>
          <w:szCs w:val="28"/>
        </w:rPr>
        <w:t>(3)</w:t>
      </w:r>
      <w:r>
        <w:rPr>
          <w:rFonts w:ascii="Times New Roman Regular" w:hAnsi="Times New Roman Regular" w:cs="Times New Roman Regular"/>
          <w:sz w:val="28"/>
          <w:szCs w:val="28"/>
        </w:rPr>
        <w:t>The formula for calculating the GPA is as follows.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Average</w:t>
      </w:r>
      <w:r>
        <w:rPr>
          <w:rFonts w:hint="eastAsia" w:ascii="Times New Roman Regular" w:hAnsi="Times New Roman Regular" w:cs="Times New Roman Regular"/>
          <w:sz w:val="28"/>
          <w:szCs w:val="28"/>
          <w:lang w:val="en-US" w:eastAsia="zh-CN"/>
        </w:rPr>
        <w:t xml:space="preserve"> </w:t>
      </w:r>
      <m:oMath>
        <m:r>
          <m:rPr>
            <m:sty m:val="p"/>
          </m:rPr>
          <w:rPr>
            <w:rFonts w:ascii="Times New Roman Regular" w:hAnsi="Times New Roman Regular" w:cs="Times New Roman Regular"/>
            <w:sz w:val="28"/>
            <w:szCs w:val="28"/>
            <w:lang w:eastAsia="zh-Hans"/>
          </w:rPr>
          <m:t>GPA</m:t>
        </m:r>
      </m:oMath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 </w:t>
      </w:r>
      <m:oMath>
        <m:r>
          <m:rPr>
            <m:sty m:val="p"/>
          </m:rPr>
          <w:rPr>
            <w:rFonts w:ascii="Times New Roman Regular" w:hAnsi="Times New Roman Regular" w:cs="Times New Roman Regular"/>
            <w:sz w:val="36"/>
            <w:szCs w:val="28"/>
            <w:lang w:eastAsia="zh-Hans"/>
          </w:rPr>
          <m:t>=</m:t>
        </m:r>
        <m:f>
          <m:fPr>
            <m:ctrlPr>
              <w:rPr>
                <w:rFonts w:ascii="Cambria Math" w:hAnsi="Cambria Math" w:cs="Times New Roman Regular"/>
                <w:sz w:val="36"/>
                <w:szCs w:val="28"/>
                <w:lang w:eastAsia="zh-Han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Regular"/>
                <w:sz w:val="36"/>
                <w:szCs w:val="28"/>
                <w:lang w:eastAsia="zh-Hans"/>
              </w:rPr>
              <m:t>Σ(course credits</m:t>
            </m:r>
            <m:r>
              <m:rPr>
                <m:sty m:val="p"/>
              </m:rPr>
              <w:rPr>
                <w:rFonts w:ascii="Cambria Math" w:hAnsi="Cambria Math" w:cs="Times New Roman Regular"/>
                <w:sz w:val="36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 Regular"/>
                <w:sz w:val="36"/>
                <w:szCs w:val="28"/>
                <w:lang w:eastAsia="zh-Hans"/>
              </w:rPr>
              <m:t>GPA)</m:t>
            </m:r>
            <m:ctrlPr>
              <w:rPr>
                <w:rFonts w:ascii="Cambria Math" w:hAnsi="Cambria Math" w:cs="Times New Roman Regular"/>
                <w:sz w:val="36"/>
                <w:szCs w:val="28"/>
                <w:lang w:eastAsia="zh-Han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 Regular"/>
                <w:sz w:val="36"/>
                <w:szCs w:val="36"/>
                <w:lang w:eastAsia="zh-Hans"/>
              </w:rPr>
              <m:t>Σcourse credits</m:t>
            </m:r>
            <m:ctrlPr>
              <w:rPr>
                <w:rFonts w:ascii="Cambria Math" w:hAnsi="Cambria Math" w:cs="Times New Roman Regular"/>
                <w:sz w:val="36"/>
                <w:szCs w:val="28"/>
                <w:lang w:eastAsia="zh-Hans"/>
              </w:rPr>
            </m:ctrlPr>
          </m:den>
        </m:f>
      </m:oMath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</w:pPr>
      <w:r>
        <w:rPr>
          <w:rFonts w:hint="eastAsia" w:ascii="Times New Roman Regular" w:hAnsi="Times New Roman Regular" w:cs="Times New Roman Regular"/>
          <w:sz w:val="28"/>
          <w:szCs w:val="28"/>
        </w:rPr>
        <w:t>(4)</w:t>
      </w:r>
      <w: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Courses with a two-level scoring system: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 Regular" w:hAnsi="Times New Roman Regular" w:cs="Times New Roman Regular"/>
          <w:sz w:val="28"/>
          <w:szCs w:val="28"/>
        </w:rPr>
      </w:pPr>
      <w:r>
        <w:rPr>
          <w:rFonts w:hint="eastAsia" w:ascii="Times New Roman Regular" w:hAnsi="Times New Roman Regular" w:cs="Times New Roman Regular"/>
          <w:sz w:val="28"/>
          <w:szCs w:val="28"/>
        </w:rPr>
        <w:t>Q</w:t>
      </w:r>
      <w:r>
        <w:rPr>
          <w:rFonts w:ascii="Times New Roman Regular" w:hAnsi="Times New Roman Regular" w:cs="Times New Roman Regular"/>
          <w:sz w:val="28"/>
          <w:szCs w:val="28"/>
        </w:rPr>
        <w:t>ualified</w:t>
      </w:r>
      <w:r>
        <w:rPr>
          <w:rFonts w:hint="eastAsia" w:ascii="Times New Roman Regular" w:hAnsi="Times New Roman Regular" w:cs="Times New Roman Regular"/>
          <w:sz w:val="28"/>
          <w:szCs w:val="28"/>
        </w:rPr>
        <w:t>-2.5，U</w:t>
      </w:r>
      <w:r>
        <w:rPr>
          <w:rFonts w:ascii="Times New Roman Regular" w:hAnsi="Times New Roman Regular" w:cs="Times New Roman Regular"/>
          <w:sz w:val="28"/>
          <w:szCs w:val="28"/>
        </w:rPr>
        <w:t>nqualified</w:t>
      </w:r>
      <w:r>
        <w:rPr>
          <w:rFonts w:hint="eastAsia" w:ascii="Times New Roman Regular" w:hAnsi="Times New Roman Regular" w:cs="Times New Roman Regular"/>
          <w:sz w:val="28"/>
          <w:szCs w:val="28"/>
        </w:rPr>
        <w:t>-0。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According to the relevant provisions of </w:t>
      </w:r>
      <w:r>
        <w:rPr>
          <w:rFonts w:ascii="Times New Roman Regular" w:hAnsi="Times New Roman Regular" w:cs="Times New Roman Regular"/>
          <w:i/>
          <w:iCs/>
          <w:sz w:val="28"/>
          <w:szCs w:val="28"/>
          <w:lang w:eastAsia="zh-Hans"/>
        </w:rPr>
        <w:t>The Rules for Awarding Bachelor's Degree of Hangzhou Normal University,Qianjiang College,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 full-time undergraduates with an average GPA of 2.0 or above during their studies can be awarded a bachelor's degree.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 Regular" w:hAnsi="Times New Roman Regular" w:cs="Times New Roman Regular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jc w:val="right"/>
        <w:rPr>
          <w:rFonts w:hint="eastAsia"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Teaching and Research Department of Hangzhou Normal </w:t>
      </w:r>
    </w:p>
    <w:p>
      <w:pPr>
        <w:widowControl/>
        <w:spacing w:line="360" w:lineRule="auto"/>
        <w:jc w:val="right"/>
        <w:rPr>
          <w:rFonts w:ascii="Times New Roman Regular" w:hAnsi="Times New Roman Regular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University,Qianjiang College.</w:t>
      </w:r>
    </w:p>
    <w:p>
      <w:pPr>
        <w:widowControl/>
        <w:wordWrap w:val="0"/>
        <w:spacing w:line="360" w:lineRule="auto"/>
        <w:jc w:val="right"/>
        <w:rPr>
          <w:rFonts w:hint="eastAsia" w:ascii="Times New Roman Regular" w:hAnsi="Times New Roman Regular" w:cs="Times New Roman Regular"/>
          <w:color w:val="FF0000"/>
          <w:sz w:val="28"/>
          <w:szCs w:val="28"/>
        </w:rPr>
      </w:pPr>
      <w:r>
        <w:rPr>
          <w:rFonts w:hint="eastAsia" w:ascii="Times New Roman Regular" w:hAnsi="Times New Roman Regular" w:cs="Times New Roman Regular"/>
          <w:i w:val="0"/>
          <w:iCs w:val="0"/>
          <w:color w:val="FF0000"/>
          <w:sz w:val="28"/>
          <w:szCs w:val="28"/>
          <w:u w:val="single"/>
        </w:rPr>
        <w:t>J</w:t>
      </w:r>
      <w:r>
        <w:rPr>
          <w:rFonts w:hint="eastAsia" w:ascii="Times New Roman Regular" w:hAnsi="Times New Roman Regular" w:cs="Times New Roman Regular"/>
          <w:i w:val="0"/>
          <w:iCs w:val="0"/>
          <w:color w:val="FF0000"/>
          <w:sz w:val="28"/>
          <w:szCs w:val="28"/>
          <w:u w:val="single"/>
          <w:lang w:val="en-US" w:eastAsia="zh-CN"/>
        </w:rPr>
        <w:t>u</w:t>
      </w:r>
      <w:r>
        <w:rPr>
          <w:rFonts w:hint="eastAsia" w:ascii="Times New Roman Regular" w:hAnsi="Times New Roman Regular" w:cs="Times New Roman Regular"/>
          <w:i w:val="0"/>
          <w:iCs w:val="0"/>
          <w:color w:val="FF0000"/>
          <w:sz w:val="28"/>
          <w:szCs w:val="28"/>
          <w:u w:val="single"/>
        </w:rPr>
        <w:t>n</w:t>
      </w:r>
      <w:r>
        <w:rPr>
          <w:rFonts w:hint="eastAsia" w:ascii="Times New Roman Regular" w:hAnsi="Times New Roman Regular" w:cs="Times New Roman Regular"/>
          <w:i w:val="0"/>
          <w:iCs w:val="0"/>
          <w:color w:val="FF0000"/>
          <w:sz w:val="28"/>
          <w:szCs w:val="28"/>
          <w:u w:val="none"/>
          <w:lang w:val="en-US" w:eastAsia="zh-CN"/>
        </w:rPr>
        <w:t xml:space="preserve"> </w:t>
      </w:r>
      <w:r>
        <w:rPr>
          <w:rFonts w:ascii="Times New Roman Regular" w:hAnsi="Times New Roman Regular" w:cs="Times New Roman Regular"/>
          <w:color w:val="FF0000"/>
          <w:sz w:val="28"/>
          <w:szCs w:val="28"/>
          <w:lang w:eastAsia="zh-Hans"/>
        </w:rPr>
        <w:t>.</w:t>
      </w:r>
      <w:r>
        <w:rPr>
          <w:rFonts w:hint="eastAsia" w:ascii="Times New Roman Regular" w:hAnsi="Times New Roman Regular" w:cs="Times New Roman Regular"/>
          <w:color w:val="FF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 Regular" w:hAnsi="Times New Roman Regular" w:cs="Times New Roman Regular"/>
          <w:color w:val="FF0000"/>
          <w:sz w:val="28"/>
          <w:szCs w:val="28"/>
          <w:vertAlign w:val="superscript"/>
          <w:lang w:eastAsia="zh-Hans"/>
        </w:rPr>
        <w:t>th</w:t>
      </w:r>
      <w:r>
        <w:rPr>
          <w:rFonts w:ascii="Times New Roman Regular" w:hAnsi="Times New Roman Regular" w:cs="Times New Roman Regular"/>
          <w:color w:val="FF0000"/>
          <w:sz w:val="28"/>
          <w:szCs w:val="28"/>
          <w:lang w:eastAsia="zh-Hans"/>
        </w:rPr>
        <w:t>,20</w:t>
      </w:r>
      <w:r>
        <w:rPr>
          <w:rFonts w:hint="eastAsia" w:ascii="Times New Roman Regular" w:hAnsi="Times New Roman Regular" w:cs="Times New Roman Regular"/>
          <w:color w:val="FF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 Regular" w:hAnsi="Times New Roman Regular" w:cs="Times New Roman Regular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 Regular" w:hAnsi="Times New Roman Regular" w:cs="Times New Roman Regular"/>
          <w:color w:val="FF0000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zBjNWQ4ZGRkMzYzNGU0OTM4NzQ0OTNhY2E0YzQifQ=="/>
  </w:docVars>
  <w:rsids>
    <w:rsidRoot w:val="F7FFF706"/>
    <w:rsid w:val="000A33E1"/>
    <w:rsid w:val="000F6005"/>
    <w:rsid w:val="00304505"/>
    <w:rsid w:val="004A4084"/>
    <w:rsid w:val="00542CF6"/>
    <w:rsid w:val="005C0894"/>
    <w:rsid w:val="00686704"/>
    <w:rsid w:val="006E2B4D"/>
    <w:rsid w:val="00825101"/>
    <w:rsid w:val="00A2394B"/>
    <w:rsid w:val="00B0643D"/>
    <w:rsid w:val="00BD613D"/>
    <w:rsid w:val="00CF360C"/>
    <w:rsid w:val="00DC301A"/>
    <w:rsid w:val="00E674E7"/>
    <w:rsid w:val="1D530AAF"/>
    <w:rsid w:val="46535444"/>
    <w:rsid w:val="4B3C21A8"/>
    <w:rsid w:val="5477549E"/>
    <w:rsid w:val="549239F0"/>
    <w:rsid w:val="5F7D4E63"/>
    <w:rsid w:val="7663725D"/>
    <w:rsid w:val="C77F9D4A"/>
    <w:rsid w:val="F7FFF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776</Characters>
  <Lines>6</Lines>
  <Paragraphs>1</Paragraphs>
  <TotalTime>3</TotalTime>
  <ScaleCrop>false</ScaleCrop>
  <LinksUpToDate>false</LinksUpToDate>
  <CharactersWithSpaces>878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2023-06-25T06:09:00Z</dcterms:created>
  <dc:creator>稳稳</dc:creator>
  <cp:lastModifiedBy>海纳百川</cp:lastModifiedBy>
  <cp:lastPrinted>2023-02-16T07:24:00Z</cp:lastPrinted>
  <dcterms:modified xsi:type="dcterms:W3CDTF">2023-06-25T06:50:17Z</dcterms:modified>
  <dc:title>Certificate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0A1BC396D47D43ED894FA582CB0E0E7E_13</vt:lpwstr>
  </property>
</Properties>
</file>