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关于举办钱江学院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第四届</w:t>
      </w:r>
      <w:r>
        <w:rPr>
          <w:rFonts w:hint="eastAsia" w:ascii="仿宋" w:hAnsi="仿宋" w:eastAsia="仿宋" w:cs="仿宋"/>
          <w:b/>
          <w:sz w:val="30"/>
          <w:szCs w:val="30"/>
        </w:rPr>
        <w:t>大学生证券投资竞赛暨第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30"/>
          <w:szCs w:val="30"/>
        </w:rPr>
        <w:t>届浙江省大学生证券投资竞赛选拔赛的通知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各分院：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为了增进我院学生对金融知识的理解，提升我院学生的金融理财能力和投资能力，培养团队协作精神，同时选拔优秀人才参加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第八届</w:t>
      </w:r>
      <w:r>
        <w:rPr>
          <w:rFonts w:hint="eastAsia" w:ascii="仿宋" w:hAnsi="仿宋" w:eastAsia="仿宋" w:cs="仿宋"/>
          <w:sz w:val="28"/>
          <w:szCs w:val="28"/>
        </w:rPr>
        <w:t>浙江省大学生证券投资竞赛，决定举办杭州师范大学钱江学院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第四届</w:t>
      </w:r>
      <w:r>
        <w:rPr>
          <w:rFonts w:hint="eastAsia" w:ascii="仿宋" w:hAnsi="仿宋" w:eastAsia="仿宋" w:cs="仿宋"/>
          <w:sz w:val="28"/>
          <w:szCs w:val="28"/>
        </w:rPr>
        <w:t>大学生证券投资竞赛。现将有关事项通知如下：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一、竞赛组织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主办单位：杭州师范大学钱江学院学科竞赛委员会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承办单位：杭州师范大学钱江学院经济管理分院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组委会办公室：本次竞赛组委会办公室设在经管分院办公室（D-319）。如有不详事宜可与组委会办公室联系，联系人：丁老师，联系电话28865200。郑老师，联系电话28865792。学生联系人：芦同学，联系方式1004951942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二、参赛形式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15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（一）个人竞赛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个人赛由学生本人直接通过平台参赛，学院不统一组织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;</w:t>
      </w:r>
      <w:r>
        <w:rPr>
          <w:rFonts w:hint="eastAsia" w:ascii="仿宋" w:hAnsi="仿宋" w:eastAsia="仿宋" w:cs="仿宋"/>
          <w:sz w:val="28"/>
          <w:szCs w:val="28"/>
        </w:rPr>
        <w:t>个人赛股票组的各参赛选手需通过手机下载并登陆最新版本“同花顺模拟炒股”App在线自主报名。具体参赛时间和规则详见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浙江省大学生证券投资竞赛网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（https://www.quant.zufe.edu.cn/）”</w:t>
      </w:r>
      <w:r>
        <w:rPr>
          <w:rFonts w:hint="eastAsia" w:ascii="仿宋" w:hAnsi="仿宋" w:eastAsia="仿宋" w:cs="仿宋"/>
          <w:sz w:val="28"/>
          <w:szCs w:val="28"/>
        </w:rPr>
        <w:t>。个人赛的实操结果可以作为组队参加“市场交易组”团队竞赛的依据，市场交易组的比赛内容主要包括进行证券投资操作、撰写投资总结报告和答辩三个环节。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15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（二）团体竞赛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团体竞赛形式分为投资策略组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量化交易组和市场交易组三个组别。每位学生只能参加一个团队，每个团队只能选择一个组别参加竞赛。投资策略组和市场交易组团队由3名同一学校在校大学生组成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量化交易组参赛团队由3至5名同一学校在校大学生组成。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三、竞赛报名和作品提交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参赛团队均需填写报名表（附件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）。报名表命名为：组别类型+队长姓名+策略名（如：投资策略组、张三、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向上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涨停”</w:t>
      </w:r>
      <w:r>
        <w:rPr>
          <w:rFonts w:hint="eastAsia" w:ascii="仿宋" w:hAnsi="仿宋" w:eastAsia="仿宋" w:cs="仿宋"/>
          <w:sz w:val="28"/>
          <w:szCs w:val="28"/>
        </w:rPr>
        <w:t>投资策略研究报告）。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2．参赛团队需提交作品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内容和格式规范见附件3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 投资策略组参赛团队提交的作品为“投资策略研究报告”，详见评分细则所涉及的内容。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②量化交易组参赛团队提交的作品为“量化投资策略报告”，详见评分细则所涉及的内容。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3．报名表和报告的电子版由该团队所有参赛队员确认后提交给芦同学，联系方式1004951942@qq.com。报名表和作品的提交截至时间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年6月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日晚上24：00。</w:t>
      </w:r>
    </w:p>
    <w:p>
      <w:pPr>
        <w:ind w:firstLine="420" w:firstLineChars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四、作品评审</w:t>
      </w:r>
    </w:p>
    <w:p>
      <w:pPr>
        <w:ind w:firstLine="422" w:firstLineChars="15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（一）评分细则</w:t>
      </w:r>
    </w:p>
    <w:p>
      <w:pPr>
        <w:ind w:firstLine="420" w:firstLineChars="1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1.投资策略研究报告评分细则</w:t>
      </w:r>
    </w:p>
    <w:tbl>
      <w:tblPr>
        <w:tblStyle w:val="2"/>
        <w:tblW w:w="4998" w:type="pct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65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83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报告评分要素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162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策略的创新性和逻辑40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83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）投资策略在思路或视角上的创新；（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）投资策略在方法运用上的创新；（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）投资策略的逻辑是否正确、严密；（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）投资逻辑是否符合中国市场实践情况。（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62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策略的设计与阐述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83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）投资策略的设计与构建是否完整有效；（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）使用的指标或模型是否科学合理；（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）选题目的明确，报告内容与选题一致；（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4）报告字数不少于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字，不超过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字。（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162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格式规范美观度1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83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（1）有封面和目录；（0-2分）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（2）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报告主体纲要及内容齐全、合理规范；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（0-4分）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（3）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报告层次分明、图表规范、专业词汇运用准确；（0-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5000" w:type="pct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总分100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</w:tr>
    </w:tbl>
    <w:p>
      <w:pPr>
        <w:ind w:firstLine="420" w:firstLineChars="1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2.量化交易报告评分细则</w:t>
      </w:r>
    </w:p>
    <w:tbl>
      <w:tblPr>
        <w:tblStyle w:val="2"/>
        <w:tblW w:w="4999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6"/>
        <w:gridCol w:w="61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35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报告评分要素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策略的创新性和逻辑35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58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）量化策略在思路或视角上的创新；（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）量化策略在方法运用上的创新；（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）量化策略的逻辑是否正确、严密；（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）投资逻辑是否符合中国市场实践情况。（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策略的设计与阐述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58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）量化策略的设计与构建是否完整有效；（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）使用的指标或模型是否科学合理；（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）有合理的风险控制策略；（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）选题目的明确，报告内容与选题一致；（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）报告字数不少于1000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字，不超过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字。（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0-5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格式规范美观度10分</w:t>
            </w:r>
          </w:p>
        </w:tc>
        <w:tc>
          <w:tcPr>
            <w:tcW w:w="358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（1）有封面和目录；（0-2分）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（2）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报告主体纲要及内容齐全、合理规范；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（0-4分）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（3）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报告层次分明、图表规范、专业词汇运用准确；（0-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1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程序化交易实现</w:t>
            </w:r>
          </w:p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58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315" w:lineRule="atLeast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量化策略能用程序化交易实现，并且结果一致。（0-10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000" w:type="pct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总分100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</w:tr>
    </w:tbl>
    <w:p>
      <w:pPr>
        <w:ind w:firstLine="42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评审时间</w:t>
      </w:r>
    </w:p>
    <w:p>
      <w:pPr>
        <w:ind w:firstLine="42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底。</w:t>
      </w:r>
    </w:p>
    <w:p>
      <w:pPr>
        <w:ind w:firstLine="42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五、奖项设置</w:t>
      </w:r>
    </w:p>
    <w:p>
      <w:pPr>
        <w:ind w:firstLine="42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比赛设一、二、三等奖若干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</w:t>
      </w:r>
      <w:r>
        <w:rPr>
          <w:rFonts w:hint="eastAsia" w:ascii="仿宋" w:hAnsi="仿宋" w:eastAsia="仿宋" w:cs="仿宋"/>
          <w:sz w:val="28"/>
          <w:szCs w:val="28"/>
        </w:rPr>
        <w:t>，并按照选手成绩，从中选送优秀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团队</w:t>
      </w:r>
      <w:r>
        <w:rPr>
          <w:rFonts w:hint="eastAsia" w:ascii="仿宋" w:hAnsi="仿宋" w:eastAsia="仿宋" w:cs="仿宋"/>
          <w:sz w:val="28"/>
          <w:szCs w:val="28"/>
        </w:rPr>
        <w:t>若干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组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配备优秀指导老师，安排培训和指导后</w:t>
      </w:r>
      <w:r>
        <w:rPr>
          <w:rFonts w:hint="eastAsia" w:ascii="仿宋" w:hAnsi="仿宋" w:eastAsia="仿宋" w:cs="仿宋"/>
          <w:sz w:val="28"/>
          <w:szCs w:val="28"/>
        </w:rPr>
        <w:t>代表学院参加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浙江省</w:t>
      </w:r>
      <w:r>
        <w:rPr>
          <w:rFonts w:hint="eastAsia" w:ascii="仿宋" w:hAnsi="仿宋" w:eastAsia="仿宋" w:cs="仿宋"/>
          <w:sz w:val="28"/>
          <w:szCs w:val="28"/>
        </w:rPr>
        <w:t>大学生证券投资竞赛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竞赛培训为线上培训。在竞赛协办方或第三方合作平台上对证券投资、投资策略、量化投资策略、量化模型建立、量化平台应用等内容进行线上培训，团队赛参赛选手可使用分配的账号和密码登录竞赛网站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（https://www.quant.zufe.edu.cn/）</w:t>
      </w:r>
      <w:r>
        <w:rPr>
          <w:rFonts w:hint="eastAsia" w:ascii="仿宋" w:hAnsi="仿宋" w:eastAsia="仿宋" w:cs="仿宋"/>
          <w:sz w:val="28"/>
          <w:szCs w:val="28"/>
        </w:rPr>
        <w:t>观看培训视频。所有培训均为免费。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钱江学院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第四届</w:t>
      </w:r>
      <w:r>
        <w:rPr>
          <w:rFonts w:hint="eastAsia" w:ascii="仿宋" w:hAnsi="仿宋" w:eastAsia="仿宋" w:cs="仿宋"/>
          <w:sz w:val="28"/>
          <w:szCs w:val="28"/>
        </w:rPr>
        <w:t>大学生证券投资竞赛报名表</w:t>
      </w:r>
    </w:p>
    <w:p>
      <w:pPr>
        <w:numPr>
          <w:ilvl w:val="0"/>
          <w:numId w:val="0"/>
        </w:numPr>
        <w:ind w:left="420" w:leftChars="0" w:firstLine="840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2.投资报告的内容和格式规范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杭州师范大学钱江学院学科竞赛委员会</w:t>
      </w:r>
    </w:p>
    <w:p>
      <w:pPr>
        <w:jc w:val="right"/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2022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36FB5F7F"/>
    <w:rsid w:val="00710A8A"/>
    <w:rsid w:val="36FB5F7F"/>
    <w:rsid w:val="69DE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2021-05-24T04:43:00Z</dcterms:created>
  <dc:creator>填野</dc:creator>
  <cp:lastModifiedBy>填野</cp:lastModifiedBy>
  <dcterms:modified xsi:type="dcterms:W3CDTF">2022-05-11T02:33:37Z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54315305B2C44A19A01D5721CED584E9</vt:lpwstr>
  </property>
</Properties>
</file>