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36" w:rsidRDefault="00FB7597">
      <w:pPr>
        <w:widowControl/>
        <w:spacing w:line="360" w:lineRule="auto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E07336" w:rsidRDefault="00E07336"/>
    <w:p w:rsidR="00E07336" w:rsidRDefault="00E07336"/>
    <w:p w:rsidR="00E07336" w:rsidRDefault="00E07336"/>
    <w:p w:rsidR="00E07336" w:rsidRDefault="00E07336">
      <w:pPr>
        <w:jc w:val="center"/>
        <w:rPr>
          <w:b/>
          <w:bCs/>
          <w:sz w:val="52"/>
        </w:rPr>
      </w:pPr>
    </w:p>
    <w:p w:rsidR="00E07336" w:rsidRDefault="00FB759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杭州师范大学钱江学院期中教学检查总结表</w:t>
      </w:r>
    </w:p>
    <w:p w:rsidR="00E07336" w:rsidRDefault="00E07336">
      <w:pPr>
        <w:jc w:val="center"/>
        <w:rPr>
          <w:rFonts w:ascii="黑体" w:eastAsia="黑体" w:hAnsi="黑体" w:cs="黑体"/>
          <w:sz w:val="32"/>
          <w:szCs w:val="32"/>
        </w:rPr>
      </w:pPr>
    </w:p>
    <w:p w:rsidR="00E07336" w:rsidRDefault="00FB759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 2018-2019学年第</w:t>
      </w:r>
      <w:r w:rsidR="009D1497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学期）</w:t>
      </w:r>
    </w:p>
    <w:p w:rsidR="00E07336" w:rsidRDefault="00E07336">
      <w:pPr>
        <w:jc w:val="center"/>
        <w:rPr>
          <w:b/>
          <w:bCs/>
          <w:sz w:val="52"/>
        </w:rPr>
      </w:pPr>
    </w:p>
    <w:p w:rsidR="00E07336" w:rsidRDefault="00E07336">
      <w:pPr>
        <w:jc w:val="center"/>
        <w:rPr>
          <w:b/>
          <w:bCs/>
          <w:sz w:val="52"/>
        </w:rPr>
      </w:pPr>
    </w:p>
    <w:p w:rsidR="00E07336" w:rsidRDefault="00E07336">
      <w:pPr>
        <w:jc w:val="center"/>
        <w:rPr>
          <w:b/>
          <w:bCs/>
          <w:sz w:val="52"/>
        </w:rPr>
      </w:pPr>
    </w:p>
    <w:p w:rsidR="00E07336" w:rsidRDefault="00E07336">
      <w:pPr>
        <w:jc w:val="center"/>
        <w:rPr>
          <w:b/>
          <w:bCs/>
          <w:sz w:val="52"/>
        </w:rPr>
      </w:pPr>
    </w:p>
    <w:p w:rsidR="00E07336" w:rsidRDefault="00E07336">
      <w:pPr>
        <w:jc w:val="center"/>
        <w:rPr>
          <w:b/>
          <w:bCs/>
          <w:sz w:val="52"/>
        </w:rPr>
      </w:pPr>
    </w:p>
    <w:p w:rsidR="00E07336" w:rsidRDefault="00E07336">
      <w:pPr>
        <w:jc w:val="center"/>
        <w:rPr>
          <w:b/>
          <w:bCs/>
          <w:sz w:val="52"/>
        </w:rPr>
      </w:pPr>
    </w:p>
    <w:p w:rsidR="00E07336" w:rsidRDefault="00FB7597">
      <w:pPr>
        <w:ind w:firstLineChars="500" w:firstLine="1800"/>
        <w:rPr>
          <w:rFonts w:ascii="黑体" w:eastAsia="黑体" w:hAnsi="黑体" w:cs="黑体"/>
          <w:sz w:val="36"/>
          <w:u w:val="single"/>
        </w:rPr>
      </w:pPr>
      <w:r>
        <w:rPr>
          <w:rFonts w:ascii="黑体" w:eastAsia="黑体" w:hAnsi="黑体" w:cs="黑体" w:hint="eastAsia"/>
          <w:sz w:val="36"/>
        </w:rPr>
        <w:t xml:space="preserve">分       院 </w:t>
      </w:r>
    </w:p>
    <w:p w:rsidR="00E07336" w:rsidRDefault="00FB7597">
      <w:pPr>
        <w:ind w:firstLineChars="500" w:firstLine="1800"/>
        <w:rPr>
          <w:rFonts w:ascii="黑体" w:eastAsia="黑体" w:hAnsi="黑体" w:cs="黑体"/>
          <w:sz w:val="36"/>
          <w:u w:val="single"/>
        </w:rPr>
      </w:pPr>
      <w:r>
        <w:rPr>
          <w:rFonts w:ascii="黑体" w:eastAsia="黑体" w:hAnsi="黑体" w:cs="黑体" w:hint="eastAsia"/>
          <w:sz w:val="36"/>
        </w:rPr>
        <w:t xml:space="preserve">填 表 日 期 </w:t>
      </w:r>
    </w:p>
    <w:p w:rsidR="00E07336" w:rsidRDefault="00FB7597">
      <w:pPr>
        <w:ind w:firstLineChars="500" w:firstLine="1800"/>
        <w:rPr>
          <w:rFonts w:ascii="黑体" w:eastAsia="黑体" w:hAnsi="黑体" w:cs="黑体"/>
          <w:sz w:val="36"/>
          <w:u w:val="single"/>
        </w:rPr>
      </w:pPr>
      <w:r>
        <w:rPr>
          <w:rFonts w:ascii="黑体" w:eastAsia="黑体" w:hAnsi="黑体" w:cs="黑体" w:hint="eastAsia"/>
          <w:sz w:val="36"/>
        </w:rPr>
        <w:t xml:space="preserve">负  责   人 </w:t>
      </w:r>
    </w:p>
    <w:p w:rsidR="00E07336" w:rsidRDefault="00E07336">
      <w:pPr>
        <w:ind w:firstLineChars="400" w:firstLine="1440"/>
        <w:rPr>
          <w:sz w:val="36"/>
        </w:rPr>
      </w:pPr>
    </w:p>
    <w:p w:rsidR="00E07336" w:rsidRDefault="00E07336">
      <w:pPr>
        <w:ind w:firstLineChars="400" w:firstLine="1440"/>
        <w:rPr>
          <w:sz w:val="36"/>
          <w:u w:val="single"/>
        </w:rPr>
      </w:pPr>
    </w:p>
    <w:p w:rsidR="00E07336" w:rsidRDefault="00E07336">
      <w:pPr>
        <w:ind w:firstLineChars="400" w:firstLine="1440"/>
        <w:rPr>
          <w:sz w:val="36"/>
          <w:u w:val="single"/>
        </w:rPr>
      </w:pPr>
    </w:p>
    <w:p w:rsidR="00E07336" w:rsidRDefault="00E07336">
      <w:pPr>
        <w:ind w:firstLineChars="400" w:firstLine="1440"/>
        <w:rPr>
          <w:sz w:val="36"/>
          <w:u w:val="single"/>
        </w:rPr>
      </w:pPr>
    </w:p>
    <w:p w:rsidR="00E07336" w:rsidRDefault="00FB759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杭州师范大学钱江学院教务部制</w:t>
      </w:r>
    </w:p>
    <w:p w:rsidR="00E07336" w:rsidRDefault="00E07336">
      <w:pPr>
        <w:widowControl/>
        <w:spacing w:line="360" w:lineRule="auto"/>
        <w:jc w:val="center"/>
        <w:rPr>
          <w:rFonts w:ascii="黑体" w:eastAsia="黑体" w:hAnsi="黑体" w:cs="黑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A44405" w:rsidRDefault="00A44405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FB7597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说    明</w:t>
      </w:r>
    </w:p>
    <w:p w:rsidR="00E07336" w:rsidRDefault="00E07336">
      <w:pPr>
        <w:ind w:firstLineChars="500" w:firstLine="2610"/>
        <w:rPr>
          <w:b/>
          <w:bCs/>
          <w:sz w:val="52"/>
        </w:rPr>
      </w:pPr>
    </w:p>
    <w:p w:rsidR="00E07336" w:rsidRDefault="00FB75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1．本表一式二份，一份留分院存档，一份交教务部（行政楼627室）。</w:t>
      </w:r>
    </w:p>
    <w:p w:rsidR="00E07336" w:rsidRDefault="00FB75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各栏目填不下，可调整格式或者另行附纸。</w:t>
      </w:r>
    </w:p>
    <w:p w:rsidR="00E07336" w:rsidRDefault="00FB759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 交表截止日期：201</w:t>
      </w:r>
      <w:r w:rsidR="009D1497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9D1497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9D1497"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日。</w:t>
      </w: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E07336" w:rsidRDefault="00E07336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2"/>
      </w:tblGrid>
      <w:tr w:rsidR="00E07336">
        <w:trPr>
          <w:trHeight w:val="336"/>
          <w:jc w:val="center"/>
        </w:trPr>
        <w:tc>
          <w:tcPr>
            <w:tcW w:w="8972" w:type="dxa"/>
            <w:vAlign w:val="center"/>
          </w:tcPr>
          <w:p w:rsidR="00E07336" w:rsidRDefault="00FB7597">
            <w:pPr>
              <w:jc w:val="center"/>
              <w:rPr>
                <w:b/>
                <w:bCs/>
                <w:position w:val="-12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期中教学检查情况总结</w:t>
            </w:r>
          </w:p>
        </w:tc>
      </w:tr>
      <w:tr w:rsidR="00E07336">
        <w:trPr>
          <w:trHeight w:val="12679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一、示范性课堂观摩方面</w:t>
            </w:r>
          </w:p>
          <w:p w:rsidR="00E07336" w:rsidRDefault="00FB7597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（小结应包括目前分院示范性课堂观摩活动组织开展情况，研讨情况等。）</w:t>
            </w: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E07336">
        <w:trPr>
          <w:trHeight w:val="12679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二、试卷管理方面</w:t>
            </w:r>
          </w:p>
          <w:p w:rsidR="00E07336" w:rsidRDefault="00FB7597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（小结应包括目前分院试卷检查情况，在试卷管理工作中需要加强和改进的方面。）</w:t>
            </w: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E07336">
        <w:trPr>
          <w:trHeight w:val="12679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三、毕业设计（论文）管理方面</w:t>
            </w:r>
          </w:p>
          <w:p w:rsidR="00E07336" w:rsidRDefault="00FB7597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（小结应包括目前分院毕业设计（论文）检查情况，在毕业设计（论文）管理工作中需要加强和改进的方面。）</w:t>
            </w:r>
          </w:p>
          <w:p w:rsidR="00E07336" w:rsidRDefault="00E07336">
            <w:pPr>
              <w:rPr>
                <w:rFonts w:ascii="楷体" w:eastAsia="楷体" w:hAnsi="楷体" w:cs="楷体"/>
                <w:sz w:val="24"/>
              </w:rPr>
            </w:pPr>
          </w:p>
        </w:tc>
      </w:tr>
      <w:tr w:rsidR="00E07336">
        <w:trPr>
          <w:trHeight w:val="12679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四、</w:t>
            </w:r>
            <w:r w:rsidR="009D1497">
              <w:rPr>
                <w:rFonts w:hint="eastAsia"/>
                <w:b/>
                <w:sz w:val="24"/>
              </w:rPr>
              <w:t>毕业实习</w:t>
            </w:r>
            <w:r>
              <w:rPr>
                <w:rFonts w:hint="eastAsia"/>
                <w:b/>
                <w:sz w:val="24"/>
              </w:rPr>
              <w:t>中期检查</w:t>
            </w:r>
          </w:p>
          <w:p w:rsidR="00E07336" w:rsidRDefault="00FB7597" w:rsidP="009D1497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（小结应包括分院综合</w:t>
            </w:r>
            <w:r w:rsidR="009D1497">
              <w:rPr>
                <w:rFonts w:ascii="楷体" w:eastAsia="楷体" w:hAnsi="楷体" w:cs="楷体" w:hint="eastAsia"/>
                <w:sz w:val="24"/>
              </w:rPr>
              <w:t>毕业实习</w:t>
            </w:r>
            <w:r>
              <w:rPr>
                <w:rFonts w:ascii="楷体" w:eastAsia="楷体" w:hAnsi="楷体" w:cs="楷体" w:hint="eastAsia"/>
                <w:sz w:val="24"/>
              </w:rPr>
              <w:t>开展情况，实</w:t>
            </w:r>
            <w:r w:rsidR="009D1497">
              <w:rPr>
                <w:rFonts w:ascii="楷体" w:eastAsia="楷体" w:hAnsi="楷体" w:cs="楷体" w:hint="eastAsia"/>
                <w:sz w:val="24"/>
              </w:rPr>
              <w:t>习</w:t>
            </w:r>
            <w:r>
              <w:rPr>
                <w:rFonts w:ascii="楷体" w:eastAsia="楷体" w:hAnsi="楷体" w:cs="楷体" w:hint="eastAsia"/>
                <w:sz w:val="24"/>
              </w:rPr>
              <w:t>基地</w:t>
            </w:r>
            <w:r w:rsidR="009D1497">
              <w:rPr>
                <w:rFonts w:ascii="楷体" w:eastAsia="楷体" w:hAnsi="楷体" w:cs="楷体" w:hint="eastAsia"/>
                <w:sz w:val="24"/>
              </w:rPr>
              <w:t>下点</w:t>
            </w:r>
            <w:r>
              <w:rPr>
                <w:rFonts w:ascii="楷体" w:eastAsia="楷体" w:hAnsi="楷体" w:cs="楷体" w:hint="eastAsia"/>
                <w:sz w:val="24"/>
              </w:rPr>
              <w:t>走访情况，</w:t>
            </w:r>
            <w:r w:rsidR="009D1497">
              <w:rPr>
                <w:rFonts w:ascii="楷体" w:eastAsia="楷体" w:hAnsi="楷体" w:cs="楷体" w:hint="eastAsia"/>
                <w:sz w:val="24"/>
              </w:rPr>
              <w:t>校友邦打卡、指导情况，</w:t>
            </w:r>
            <w:r>
              <w:rPr>
                <w:rFonts w:ascii="楷体" w:eastAsia="楷体" w:hAnsi="楷体" w:cs="楷体" w:hint="eastAsia"/>
                <w:sz w:val="24"/>
              </w:rPr>
              <w:t>存在的问题及整改措施等）</w:t>
            </w:r>
          </w:p>
        </w:tc>
      </w:tr>
      <w:tr w:rsidR="00E07336">
        <w:trPr>
          <w:trHeight w:val="6587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五、日常教学管理方面</w:t>
            </w:r>
          </w:p>
          <w:p w:rsidR="00E07336" w:rsidRDefault="00FB7597">
            <w:pPr>
              <w:spacing w:line="360" w:lineRule="auto"/>
              <w:rPr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（小结应包括分院领导听课任务中期完成情况、听课意见汇总、反馈情况以及分院教学秩序检查结果、新教师培养、教风学风等情况。）</w:t>
            </w:r>
          </w:p>
        </w:tc>
      </w:tr>
      <w:tr w:rsidR="00E07336">
        <w:trPr>
          <w:trHeight w:val="2235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排课管理方面情况统计</w:t>
            </w:r>
            <w:r>
              <w:rPr>
                <w:rFonts w:ascii="楷体" w:eastAsia="楷体" w:hAnsi="楷体" w:cs="楷体" w:hint="eastAsia"/>
                <w:bCs/>
                <w:sz w:val="24"/>
              </w:rPr>
              <w:t>（有异常情况请填写具体信息）</w:t>
            </w:r>
            <w:r>
              <w:rPr>
                <w:rFonts w:hint="eastAsia"/>
                <w:bCs/>
                <w:sz w:val="24"/>
              </w:rPr>
              <w:t>:</w:t>
            </w:r>
          </w:p>
          <w:p w:rsidR="00E07336" w:rsidRDefault="00FB7597">
            <w:pPr>
              <w:spacing w:line="360" w:lineRule="auto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>
              <w:rPr>
                <w:rFonts w:hint="eastAsia"/>
                <w:bCs/>
                <w:sz w:val="24"/>
              </w:rPr>
              <w:t>教师每天授课超过</w:t>
            </w:r>
            <w:r>
              <w:rPr>
                <w:rFonts w:hint="eastAsia"/>
                <w:bCs/>
                <w:sz w:val="24"/>
              </w:rPr>
              <w:t>6</w:t>
            </w:r>
            <w:r>
              <w:rPr>
                <w:rFonts w:hint="eastAsia"/>
                <w:bCs/>
                <w:sz w:val="24"/>
              </w:rPr>
              <w:t>标准课时：无□有□：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某某某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n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课时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               </w:t>
            </w:r>
            <w:r>
              <w:rPr>
                <w:rFonts w:hint="eastAsia"/>
                <w:bCs/>
                <w:sz w:val="24"/>
                <w:u w:val="single"/>
              </w:rPr>
              <w:t>；</w:t>
            </w:r>
          </w:p>
          <w:p w:rsidR="00E07336" w:rsidRDefault="00FB7597">
            <w:pPr>
              <w:spacing w:line="360" w:lineRule="auto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>
              <w:rPr>
                <w:rFonts w:hint="eastAsia"/>
                <w:bCs/>
                <w:sz w:val="24"/>
              </w:rPr>
              <w:t>同一班级同一课程（理论课）连续排课超过</w:t>
            </w: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标准课时：无</w:t>
            </w:r>
            <w:r>
              <w:rPr>
                <w:rFonts w:ascii="宋体" w:hAnsi="宋体" w:hint="eastAsia"/>
                <w:bCs/>
                <w:sz w:val="24"/>
              </w:rPr>
              <w:t>□有□</w:t>
            </w:r>
            <w:r>
              <w:rPr>
                <w:rFonts w:hint="eastAsia"/>
                <w:bCs/>
                <w:sz w:val="24"/>
                <w:u w:val="single"/>
              </w:rPr>
              <w:t>：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x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班《课程》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bCs/>
                <w:sz w:val="24"/>
                <w:u w:val="single"/>
              </w:rPr>
              <w:t>；</w:t>
            </w:r>
          </w:p>
          <w:p w:rsidR="00E07336" w:rsidRDefault="00FB7597">
            <w:pPr>
              <w:spacing w:line="360" w:lineRule="auto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 xml:space="preserve">3. </w:t>
            </w:r>
            <w:r>
              <w:rPr>
                <w:rFonts w:hint="eastAsia"/>
                <w:bCs/>
                <w:sz w:val="24"/>
              </w:rPr>
              <w:t>同一教师同一班级承担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门课程以上：无</w:t>
            </w:r>
            <w:r>
              <w:rPr>
                <w:rFonts w:ascii="宋体" w:hAnsi="宋体" w:hint="eastAsia"/>
                <w:bCs/>
                <w:sz w:val="24"/>
              </w:rPr>
              <w:t>□有□：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x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班某教师《课程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A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》、《课程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B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》、《课程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C</w:t>
            </w:r>
            <w:r>
              <w:rPr>
                <w:rFonts w:hint="eastAsia"/>
                <w:bCs/>
                <w:color w:val="FF0000"/>
                <w:sz w:val="24"/>
                <w:u w:val="single"/>
              </w:rPr>
              <w:t>》等</w:t>
            </w:r>
            <w:r>
              <w:rPr>
                <w:rFonts w:hint="eastAsia"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Cs/>
                <w:sz w:val="24"/>
                <w:u w:val="single"/>
              </w:rPr>
              <w:t>。</w:t>
            </w:r>
          </w:p>
          <w:p w:rsidR="00E07336" w:rsidRDefault="00FB7597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4. </w:t>
            </w:r>
            <w:r>
              <w:rPr>
                <w:rFonts w:hint="eastAsia"/>
                <w:bCs/>
                <w:sz w:val="24"/>
              </w:rPr>
              <w:t>其它需要说明的问题：</w:t>
            </w:r>
          </w:p>
          <w:p w:rsidR="00E07336" w:rsidRDefault="00E07336">
            <w:pPr>
              <w:spacing w:line="360" w:lineRule="auto"/>
              <w:rPr>
                <w:sz w:val="24"/>
              </w:rPr>
            </w:pPr>
          </w:p>
        </w:tc>
      </w:tr>
      <w:tr w:rsidR="00E07336">
        <w:trPr>
          <w:trHeight w:val="2235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调停课管理统计：</w:t>
            </w:r>
          </w:p>
          <w:p w:rsidR="00E07336" w:rsidRDefault="00FB7597">
            <w:pPr>
              <w:spacing w:line="360" w:lineRule="auto"/>
              <w:rPr>
                <w:bCs/>
                <w:color w:val="FF0000"/>
                <w:sz w:val="24"/>
              </w:rPr>
            </w:pPr>
            <w:r>
              <w:rPr>
                <w:rFonts w:hint="eastAsia"/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自编教师调停课统计：</w:t>
            </w:r>
            <w:r>
              <w:rPr>
                <w:rFonts w:hint="eastAsia"/>
                <w:bCs/>
                <w:color w:val="FF0000"/>
                <w:sz w:val="24"/>
              </w:rPr>
              <w:t>某某某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次、某某某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次；合计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（统计截止</w:t>
            </w:r>
            <w:r>
              <w:rPr>
                <w:rFonts w:ascii="楷体" w:eastAsia="楷体" w:hAnsi="楷体" w:cs="楷体"/>
                <w:bCs/>
                <w:color w:val="FF0000"/>
                <w:sz w:val="24"/>
              </w:rPr>
              <w:t>4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月</w:t>
            </w:r>
            <w:r>
              <w:rPr>
                <w:rFonts w:ascii="楷体" w:eastAsia="楷体" w:hAnsi="楷体" w:cs="楷体"/>
                <w:bCs/>
                <w:color w:val="FF0000"/>
                <w:sz w:val="24"/>
              </w:rPr>
              <w:t>21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日）</w:t>
            </w:r>
          </w:p>
          <w:p w:rsidR="00E07336" w:rsidRDefault="00E07336">
            <w:pPr>
              <w:spacing w:line="360" w:lineRule="auto"/>
              <w:rPr>
                <w:bCs/>
                <w:color w:val="FF0000"/>
                <w:sz w:val="24"/>
              </w:rPr>
            </w:pPr>
          </w:p>
          <w:p w:rsidR="00E07336" w:rsidRDefault="00FB7597">
            <w:pPr>
              <w:spacing w:line="360" w:lineRule="auto"/>
              <w:rPr>
                <w:bCs/>
                <w:color w:val="FF0000"/>
                <w:sz w:val="24"/>
              </w:rPr>
            </w:pPr>
            <w:r>
              <w:rPr>
                <w:rFonts w:hint="eastAsia"/>
                <w:bCs/>
                <w:sz w:val="24"/>
              </w:rPr>
              <w:t>2.</w:t>
            </w:r>
            <w:r>
              <w:rPr>
                <w:rFonts w:hint="eastAsia"/>
                <w:bCs/>
                <w:sz w:val="24"/>
              </w:rPr>
              <w:t>外聘教师调停课统计：</w:t>
            </w:r>
            <w:r>
              <w:rPr>
                <w:rFonts w:hint="eastAsia"/>
                <w:bCs/>
                <w:color w:val="FF0000"/>
                <w:sz w:val="24"/>
              </w:rPr>
              <w:t>某某某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次、某某某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次；合计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（统计截止</w:t>
            </w:r>
            <w:r>
              <w:rPr>
                <w:rFonts w:ascii="楷体" w:eastAsia="楷体" w:hAnsi="楷体" w:cs="楷体"/>
                <w:bCs/>
                <w:color w:val="FF0000"/>
                <w:sz w:val="24"/>
              </w:rPr>
              <w:t>4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月</w:t>
            </w:r>
            <w:r>
              <w:rPr>
                <w:rFonts w:ascii="楷体" w:eastAsia="楷体" w:hAnsi="楷体" w:cs="楷体"/>
                <w:bCs/>
                <w:color w:val="FF0000"/>
                <w:sz w:val="24"/>
              </w:rPr>
              <w:t>21</w:t>
            </w:r>
            <w:r>
              <w:rPr>
                <w:rFonts w:ascii="楷体" w:eastAsia="楷体" w:hAnsi="楷体" w:cs="楷体" w:hint="eastAsia"/>
                <w:bCs/>
                <w:color w:val="FF0000"/>
                <w:sz w:val="24"/>
              </w:rPr>
              <w:t>日）</w:t>
            </w:r>
          </w:p>
          <w:p w:rsidR="00E07336" w:rsidRDefault="00E07336">
            <w:pPr>
              <w:spacing w:line="360" w:lineRule="auto"/>
              <w:rPr>
                <w:bCs/>
                <w:sz w:val="24"/>
              </w:rPr>
            </w:pPr>
          </w:p>
          <w:p w:rsidR="00E07336" w:rsidRDefault="00FB75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同一教师同一班级调停课超过</w:t>
            </w: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次课程：</w:t>
            </w:r>
            <w:r>
              <w:rPr>
                <w:rFonts w:hint="eastAsia"/>
                <w:bCs/>
                <w:color w:val="FF0000"/>
                <w:sz w:val="24"/>
              </w:rPr>
              <w:t>x</w:t>
            </w:r>
            <w:r>
              <w:rPr>
                <w:rFonts w:hint="eastAsia"/>
                <w:bCs/>
                <w:color w:val="FF0000"/>
                <w:sz w:val="24"/>
              </w:rPr>
              <w:t>班某教师《某某课程》累计调课</w:t>
            </w:r>
            <w:r>
              <w:rPr>
                <w:rFonts w:hint="eastAsia"/>
                <w:bCs/>
                <w:color w:val="FF0000"/>
                <w:sz w:val="24"/>
              </w:rPr>
              <w:t>n</w:t>
            </w:r>
            <w:r>
              <w:rPr>
                <w:rFonts w:hint="eastAsia"/>
                <w:bCs/>
                <w:color w:val="FF0000"/>
                <w:sz w:val="24"/>
              </w:rPr>
              <w:t>次</w:t>
            </w:r>
          </w:p>
        </w:tc>
      </w:tr>
      <w:tr w:rsidR="00E07336">
        <w:trPr>
          <w:trHeight w:val="7071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六、期中考核</w:t>
            </w:r>
          </w:p>
          <w:p w:rsidR="00E07336" w:rsidRDefault="00FB7597">
            <w:pPr>
              <w:spacing w:line="360" w:lineRule="auto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（小结应包含期中考试开展情况，检查结果等）</w:t>
            </w:r>
          </w:p>
          <w:p w:rsidR="00E07336" w:rsidRDefault="00E07336">
            <w:pPr>
              <w:spacing w:line="360" w:lineRule="auto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rPr>
                <w:sz w:val="24"/>
              </w:rPr>
            </w:pPr>
          </w:p>
        </w:tc>
      </w:tr>
      <w:tr w:rsidR="00E07336">
        <w:trPr>
          <w:trHeight w:val="7369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七、师生座谈会</w:t>
            </w:r>
          </w:p>
          <w:p w:rsidR="00E07336" w:rsidRDefault="00FB7597">
            <w:pPr>
              <w:spacing w:line="360" w:lineRule="auto"/>
              <w:rPr>
                <w:rFonts w:ascii="楷体" w:eastAsia="楷体" w:hAnsi="楷体" w:cs="楷体"/>
                <w:b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（教师座谈会场，学生座谈会场；分院座谈会召开情况小结，分院层面不能解决的问题（仅限教学工作）请单列。）</w:t>
            </w:r>
          </w:p>
          <w:p w:rsidR="00E07336" w:rsidRDefault="00E07336">
            <w:pPr>
              <w:spacing w:line="360" w:lineRule="auto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  <w:p w:rsidR="00E07336" w:rsidRDefault="00E07336">
            <w:pPr>
              <w:spacing w:line="360" w:lineRule="auto"/>
              <w:ind w:firstLineChars="200" w:firstLine="482"/>
              <w:rPr>
                <w:b/>
                <w:sz w:val="24"/>
              </w:rPr>
            </w:pPr>
          </w:p>
        </w:tc>
      </w:tr>
      <w:tr w:rsidR="00E07336">
        <w:trPr>
          <w:cantSplit/>
          <w:trHeight w:val="14336"/>
          <w:jc w:val="center"/>
        </w:trPr>
        <w:tc>
          <w:tcPr>
            <w:tcW w:w="8972" w:type="dxa"/>
          </w:tcPr>
          <w:p w:rsidR="00E07336" w:rsidRDefault="00FB7597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八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、期中教学检查中的创新点及其它情况小结</w:t>
            </w:r>
          </w:p>
        </w:tc>
      </w:tr>
    </w:tbl>
    <w:p w:rsidR="00E07336" w:rsidRDefault="00E07336"/>
    <w:sectPr w:rsidR="00E07336" w:rsidSect="00E07336">
      <w:headerReference w:type="default" r:id="rId7"/>
      <w:footerReference w:type="even" r:id="rId8"/>
      <w:pgSz w:w="11906" w:h="16838"/>
      <w:pgMar w:top="1134" w:right="1134" w:bottom="779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2D" w:rsidRDefault="005A672D" w:rsidP="00E07336">
      <w:r>
        <w:separator/>
      </w:r>
    </w:p>
  </w:endnote>
  <w:endnote w:type="continuationSeparator" w:id="1">
    <w:p w:rsidR="005A672D" w:rsidRDefault="005A672D" w:rsidP="00E0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36" w:rsidRDefault="007F5B2E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FB7597">
      <w:rPr>
        <w:rStyle w:val="a9"/>
      </w:rPr>
      <w:instrText xml:space="preserve">PAGE  </w:instrText>
    </w:r>
    <w:r>
      <w:fldChar w:fldCharType="end"/>
    </w:r>
  </w:p>
  <w:p w:rsidR="00E07336" w:rsidRDefault="00E073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2D" w:rsidRDefault="005A672D" w:rsidP="00E07336">
      <w:r>
        <w:separator/>
      </w:r>
    </w:p>
  </w:footnote>
  <w:footnote w:type="continuationSeparator" w:id="1">
    <w:p w:rsidR="005A672D" w:rsidRDefault="005A672D" w:rsidP="00E07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36" w:rsidRDefault="00E0733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7C5"/>
    <w:rsid w:val="00037886"/>
    <w:rsid w:val="000473C9"/>
    <w:rsid w:val="000B16A2"/>
    <w:rsid w:val="000C0039"/>
    <w:rsid w:val="000C581F"/>
    <w:rsid w:val="000F2540"/>
    <w:rsid w:val="0012001A"/>
    <w:rsid w:val="00120A95"/>
    <w:rsid w:val="001351A2"/>
    <w:rsid w:val="00172A27"/>
    <w:rsid w:val="00185598"/>
    <w:rsid w:val="001A4361"/>
    <w:rsid w:val="00211DAE"/>
    <w:rsid w:val="00221B73"/>
    <w:rsid w:val="00245AD6"/>
    <w:rsid w:val="00276625"/>
    <w:rsid w:val="00297F7C"/>
    <w:rsid w:val="002A4D88"/>
    <w:rsid w:val="002A7351"/>
    <w:rsid w:val="002B4762"/>
    <w:rsid w:val="002C66CB"/>
    <w:rsid w:val="002C6816"/>
    <w:rsid w:val="002D7925"/>
    <w:rsid w:val="0031574F"/>
    <w:rsid w:val="00336F9C"/>
    <w:rsid w:val="00360FE6"/>
    <w:rsid w:val="0037264B"/>
    <w:rsid w:val="00390D2B"/>
    <w:rsid w:val="00395645"/>
    <w:rsid w:val="003C1861"/>
    <w:rsid w:val="00406F71"/>
    <w:rsid w:val="00447D2A"/>
    <w:rsid w:val="00462AD3"/>
    <w:rsid w:val="00497C0F"/>
    <w:rsid w:val="004A4D26"/>
    <w:rsid w:val="004B36DD"/>
    <w:rsid w:val="004D4D8B"/>
    <w:rsid w:val="004D6FB8"/>
    <w:rsid w:val="00504829"/>
    <w:rsid w:val="0052064F"/>
    <w:rsid w:val="0055297A"/>
    <w:rsid w:val="005716D7"/>
    <w:rsid w:val="005A672D"/>
    <w:rsid w:val="005B7FDB"/>
    <w:rsid w:val="00620592"/>
    <w:rsid w:val="006C5F29"/>
    <w:rsid w:val="006C7303"/>
    <w:rsid w:val="007502F8"/>
    <w:rsid w:val="00754AB8"/>
    <w:rsid w:val="007852A2"/>
    <w:rsid w:val="007B1D21"/>
    <w:rsid w:val="007C090E"/>
    <w:rsid w:val="007E4C31"/>
    <w:rsid w:val="007E7C6B"/>
    <w:rsid w:val="007F5B2E"/>
    <w:rsid w:val="007F6D17"/>
    <w:rsid w:val="008070EF"/>
    <w:rsid w:val="008134D6"/>
    <w:rsid w:val="0082394C"/>
    <w:rsid w:val="00857A67"/>
    <w:rsid w:val="00871237"/>
    <w:rsid w:val="008940D0"/>
    <w:rsid w:val="008A533A"/>
    <w:rsid w:val="008D560F"/>
    <w:rsid w:val="008E0825"/>
    <w:rsid w:val="008F626E"/>
    <w:rsid w:val="00904E94"/>
    <w:rsid w:val="00951AF8"/>
    <w:rsid w:val="009A5CC4"/>
    <w:rsid w:val="009C20B2"/>
    <w:rsid w:val="009C359E"/>
    <w:rsid w:val="009D1497"/>
    <w:rsid w:val="009D2607"/>
    <w:rsid w:val="009D262C"/>
    <w:rsid w:val="009D6BE0"/>
    <w:rsid w:val="00A01C93"/>
    <w:rsid w:val="00A42970"/>
    <w:rsid w:val="00A44405"/>
    <w:rsid w:val="00A942EA"/>
    <w:rsid w:val="00AC43EA"/>
    <w:rsid w:val="00AC502D"/>
    <w:rsid w:val="00AD03F3"/>
    <w:rsid w:val="00AF34EA"/>
    <w:rsid w:val="00B20469"/>
    <w:rsid w:val="00B9569A"/>
    <w:rsid w:val="00C06EF3"/>
    <w:rsid w:val="00C4279A"/>
    <w:rsid w:val="00C85C62"/>
    <w:rsid w:val="00CC2A4D"/>
    <w:rsid w:val="00CC7AAE"/>
    <w:rsid w:val="00CD424D"/>
    <w:rsid w:val="00D04BE4"/>
    <w:rsid w:val="00D15932"/>
    <w:rsid w:val="00D24B8B"/>
    <w:rsid w:val="00D31E2A"/>
    <w:rsid w:val="00D8154E"/>
    <w:rsid w:val="00D86042"/>
    <w:rsid w:val="00D877B5"/>
    <w:rsid w:val="00DA1103"/>
    <w:rsid w:val="00DA1E1E"/>
    <w:rsid w:val="00DC7CB4"/>
    <w:rsid w:val="00DD6450"/>
    <w:rsid w:val="00E07336"/>
    <w:rsid w:val="00E7138A"/>
    <w:rsid w:val="00E83776"/>
    <w:rsid w:val="00E93433"/>
    <w:rsid w:val="00FA45E4"/>
    <w:rsid w:val="00FB7597"/>
    <w:rsid w:val="00FB7D1D"/>
    <w:rsid w:val="00FC1B41"/>
    <w:rsid w:val="00FC1D31"/>
    <w:rsid w:val="11B422D6"/>
    <w:rsid w:val="17985A7A"/>
    <w:rsid w:val="17BC3DBC"/>
    <w:rsid w:val="22D27013"/>
    <w:rsid w:val="26914332"/>
    <w:rsid w:val="27737134"/>
    <w:rsid w:val="277D546D"/>
    <w:rsid w:val="2E001E43"/>
    <w:rsid w:val="2EBE4DF5"/>
    <w:rsid w:val="32F75B22"/>
    <w:rsid w:val="35634E3D"/>
    <w:rsid w:val="37E719DF"/>
    <w:rsid w:val="3F6079AA"/>
    <w:rsid w:val="421E26D6"/>
    <w:rsid w:val="429F1412"/>
    <w:rsid w:val="49B36E40"/>
    <w:rsid w:val="4B22570C"/>
    <w:rsid w:val="4F534840"/>
    <w:rsid w:val="503D5BAB"/>
    <w:rsid w:val="52D92C58"/>
    <w:rsid w:val="561C2348"/>
    <w:rsid w:val="60D777F7"/>
    <w:rsid w:val="61853604"/>
    <w:rsid w:val="670D4A21"/>
    <w:rsid w:val="6F1803BA"/>
    <w:rsid w:val="704D61D7"/>
    <w:rsid w:val="756424C5"/>
    <w:rsid w:val="76A6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3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E07336"/>
    <w:pPr>
      <w:jc w:val="left"/>
    </w:pPr>
  </w:style>
  <w:style w:type="paragraph" w:styleId="a4">
    <w:name w:val="Body Text Indent"/>
    <w:basedOn w:val="a"/>
    <w:link w:val="Char"/>
    <w:rsid w:val="00E07336"/>
    <w:pPr>
      <w:spacing w:line="360" w:lineRule="auto"/>
      <w:ind w:firstLineChars="200" w:firstLine="560"/>
    </w:pPr>
    <w:rPr>
      <w:rFonts w:ascii="仿宋_GB2312" w:eastAsia="仿宋_GB2312" w:hAnsi="宋体"/>
      <w:sz w:val="28"/>
    </w:rPr>
  </w:style>
  <w:style w:type="paragraph" w:styleId="a5">
    <w:name w:val="Date"/>
    <w:basedOn w:val="a"/>
    <w:next w:val="a"/>
    <w:rsid w:val="00E07336"/>
    <w:pPr>
      <w:ind w:leftChars="2500" w:left="100"/>
    </w:pPr>
  </w:style>
  <w:style w:type="paragraph" w:styleId="a6">
    <w:name w:val="Balloon Text"/>
    <w:basedOn w:val="a"/>
    <w:rsid w:val="00E07336"/>
    <w:rPr>
      <w:sz w:val="18"/>
      <w:szCs w:val="18"/>
    </w:rPr>
  </w:style>
  <w:style w:type="paragraph" w:styleId="a7">
    <w:name w:val="footer"/>
    <w:basedOn w:val="a"/>
    <w:link w:val="Char0"/>
    <w:rsid w:val="00E07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E07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rsid w:val="00E07336"/>
  </w:style>
  <w:style w:type="character" w:customStyle="1" w:styleId="Char1">
    <w:name w:val="页眉 Char"/>
    <w:basedOn w:val="a0"/>
    <w:link w:val="a8"/>
    <w:rsid w:val="00E07336"/>
    <w:rPr>
      <w:kern w:val="2"/>
      <w:sz w:val="18"/>
      <w:szCs w:val="18"/>
    </w:rPr>
  </w:style>
  <w:style w:type="character" w:customStyle="1" w:styleId="Char">
    <w:name w:val="正文文本缩进 Char"/>
    <w:basedOn w:val="a0"/>
    <w:link w:val="a4"/>
    <w:rsid w:val="00E07336"/>
    <w:rPr>
      <w:rFonts w:ascii="仿宋_GB2312" w:eastAsia="仿宋_GB2312" w:hAnsi="宋体"/>
      <w:kern w:val="2"/>
      <w:sz w:val="28"/>
      <w:szCs w:val="24"/>
      <w:lang w:val="en-US" w:eastAsia="zh-CN" w:bidi="ar-SA"/>
    </w:rPr>
  </w:style>
  <w:style w:type="character" w:customStyle="1" w:styleId="Char0">
    <w:name w:val="页脚 Char"/>
    <w:basedOn w:val="a0"/>
    <w:link w:val="a7"/>
    <w:rsid w:val="00E0733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CharCharCharCharChar">
    <w:name w:val="Char Char Char Char Char Char Char Char Char"/>
    <w:basedOn w:val="a"/>
    <w:rsid w:val="00E0733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E07336"/>
    <w:rPr>
      <w:rFonts w:ascii="仿宋_GB2312" w:eastAsia="仿宋_GB2312"/>
      <w:b/>
      <w:sz w:val="32"/>
      <w:szCs w:val="32"/>
    </w:rPr>
  </w:style>
  <w:style w:type="paragraph" w:customStyle="1" w:styleId="GB2312">
    <w:name w:val="正文 + 仿宋_GB2312"/>
    <w:basedOn w:val="a"/>
    <w:rsid w:val="00E07336"/>
    <w:pPr>
      <w:spacing w:line="180" w:lineRule="auto"/>
    </w:pPr>
    <w:rPr>
      <w:rFonts w:ascii="仿宋_GB2312" w:eastAsia="仿宋_GB2312" w:hAnsi="宋体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150</Words>
  <Characters>861</Characters>
  <Application>Microsoft Office Word</Application>
  <DocSecurity>0</DocSecurity>
  <Lines>7</Lines>
  <Paragraphs>2</Paragraphs>
  <ScaleCrop>false</ScaleCrop>
  <Company>番茄花园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教学部〔2010〕19号</dc:title>
  <dc:creator>番茄花园</dc:creator>
  <cp:lastModifiedBy>PC</cp:lastModifiedBy>
  <cp:revision>5</cp:revision>
  <cp:lastPrinted>2011-04-13T08:09:00Z</cp:lastPrinted>
  <dcterms:created xsi:type="dcterms:W3CDTF">2018-04-04T02:12:00Z</dcterms:created>
  <dcterms:modified xsi:type="dcterms:W3CDTF">2019-03-26T07:05:00Z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